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537" w:rsidRPr="00601537" w:rsidRDefault="00601537" w:rsidP="00601537">
      <w:pPr>
        <w:widowControl/>
        <w:spacing w:line="600" w:lineRule="exact"/>
        <w:rPr>
          <w:rFonts w:ascii="仿宋_GB2312" w:hAnsi="微软雅黑" w:cs="宋体"/>
          <w:color w:val="000000" w:themeColor="text1"/>
          <w:kern w:val="0"/>
          <w:sz w:val="32"/>
          <w:szCs w:val="32"/>
        </w:rPr>
      </w:pPr>
      <w:r w:rsidRPr="00601537">
        <w:rPr>
          <w:rFonts w:ascii="仿宋_GB2312" w:hAnsi="微软雅黑" w:cs="宋体" w:hint="eastAsia"/>
          <w:color w:val="000000" w:themeColor="text1"/>
          <w:kern w:val="0"/>
          <w:sz w:val="32"/>
          <w:szCs w:val="32"/>
        </w:rPr>
        <w:t>附件</w:t>
      </w:r>
    </w:p>
    <w:p w:rsidR="0051285B" w:rsidRDefault="0051285B" w:rsidP="0051285B">
      <w:pPr>
        <w:widowControl/>
        <w:spacing w:line="600" w:lineRule="exact"/>
        <w:jc w:val="center"/>
        <w:rPr>
          <w:rFonts w:ascii="方正小标宋简体" w:eastAsia="方正小标宋简体" w:hAnsi="微软雅黑" w:cs="宋体"/>
          <w:color w:val="000000" w:themeColor="text1"/>
          <w:kern w:val="0"/>
          <w:sz w:val="44"/>
          <w:szCs w:val="44"/>
        </w:rPr>
      </w:pPr>
      <w:r w:rsidRPr="00860BB6">
        <w:rPr>
          <w:rFonts w:ascii="方正小标宋简体" w:eastAsia="方正小标宋简体" w:hAnsi="微软雅黑" w:cs="宋体" w:hint="eastAsia"/>
          <w:color w:val="000000" w:themeColor="text1"/>
          <w:kern w:val="0"/>
          <w:sz w:val="44"/>
          <w:szCs w:val="44"/>
        </w:rPr>
        <w:t>202</w:t>
      </w:r>
      <w:r>
        <w:rPr>
          <w:rFonts w:ascii="方正小标宋简体" w:eastAsia="方正小标宋简体" w:hAnsi="微软雅黑" w:cs="宋体"/>
          <w:color w:val="000000" w:themeColor="text1"/>
          <w:kern w:val="0"/>
          <w:sz w:val="44"/>
          <w:szCs w:val="44"/>
        </w:rPr>
        <w:t>1</w:t>
      </w:r>
      <w:r w:rsidRPr="00860BB6">
        <w:rPr>
          <w:rFonts w:ascii="方正小标宋简体" w:eastAsia="方正小标宋简体" w:hAnsi="微软雅黑" w:cs="宋体" w:hint="eastAsia"/>
          <w:color w:val="000000" w:themeColor="text1"/>
          <w:kern w:val="0"/>
          <w:sz w:val="44"/>
          <w:szCs w:val="44"/>
        </w:rPr>
        <w:t>年浙江大学专业学位研究生</w:t>
      </w:r>
    </w:p>
    <w:p w:rsidR="0051285B" w:rsidRDefault="0051285B" w:rsidP="0051285B">
      <w:pPr>
        <w:widowControl/>
        <w:spacing w:line="600" w:lineRule="exact"/>
        <w:jc w:val="center"/>
        <w:rPr>
          <w:rFonts w:ascii="方正小标宋简体" w:eastAsia="方正小标宋简体" w:hAnsi="微软雅黑" w:cs="宋体"/>
          <w:color w:val="000000" w:themeColor="text1"/>
          <w:kern w:val="0"/>
          <w:sz w:val="44"/>
          <w:szCs w:val="44"/>
        </w:rPr>
      </w:pPr>
      <w:r w:rsidRPr="00860BB6">
        <w:rPr>
          <w:rFonts w:ascii="方正小标宋简体" w:eastAsia="方正小标宋简体" w:hAnsi="微软雅黑" w:cs="宋体" w:hint="eastAsia"/>
          <w:color w:val="000000" w:themeColor="text1"/>
          <w:kern w:val="0"/>
          <w:sz w:val="44"/>
          <w:szCs w:val="44"/>
        </w:rPr>
        <w:t>优秀实践成果评选结果</w:t>
      </w:r>
    </w:p>
    <w:p w:rsidR="00601537" w:rsidRPr="00860BB6" w:rsidRDefault="00601537" w:rsidP="00601537">
      <w:pPr>
        <w:widowControl/>
        <w:spacing w:line="600" w:lineRule="exact"/>
        <w:jc w:val="center"/>
        <w:rPr>
          <w:rFonts w:ascii="方正小标宋简体" w:eastAsia="方正小标宋简体" w:hAnsi="微软雅黑" w:cs="宋体"/>
          <w:color w:val="000000" w:themeColor="text1"/>
          <w:kern w:val="0"/>
          <w:sz w:val="44"/>
          <w:szCs w:val="44"/>
        </w:rPr>
      </w:pPr>
    </w:p>
    <w:tbl>
      <w:tblPr>
        <w:tblStyle w:val="a7"/>
        <w:tblW w:w="9776" w:type="dxa"/>
        <w:jc w:val="center"/>
        <w:tblLook w:val="04A0" w:firstRow="1" w:lastRow="0" w:firstColumn="1" w:lastColumn="0" w:noHBand="0" w:noVBand="1"/>
      </w:tblPr>
      <w:tblGrid>
        <w:gridCol w:w="5240"/>
        <w:gridCol w:w="2693"/>
        <w:gridCol w:w="1843"/>
      </w:tblGrid>
      <w:tr w:rsidR="0033781F" w:rsidRPr="00D43E3A" w:rsidTr="00FC5ACB">
        <w:trPr>
          <w:cantSplit/>
          <w:trHeight w:val="600"/>
          <w:tblHeader/>
          <w:jc w:val="center"/>
        </w:trPr>
        <w:tc>
          <w:tcPr>
            <w:tcW w:w="5240" w:type="dxa"/>
            <w:hideMark/>
          </w:tcPr>
          <w:p w:rsidR="0033781F" w:rsidRPr="00D43E3A" w:rsidRDefault="0033781F" w:rsidP="0033781F">
            <w:pPr>
              <w:spacing w:line="700" w:lineRule="exact"/>
              <w:jc w:val="center"/>
              <w:rPr>
                <w:b/>
                <w:sz w:val="30"/>
                <w:szCs w:val="30"/>
              </w:rPr>
            </w:pPr>
            <w:r w:rsidRPr="00D43E3A">
              <w:rPr>
                <w:rFonts w:hint="eastAsia"/>
                <w:b/>
                <w:sz w:val="30"/>
                <w:szCs w:val="30"/>
              </w:rPr>
              <w:t>成果名称</w:t>
            </w:r>
          </w:p>
        </w:tc>
        <w:tc>
          <w:tcPr>
            <w:tcW w:w="2693" w:type="dxa"/>
            <w:hideMark/>
          </w:tcPr>
          <w:p w:rsidR="0033781F" w:rsidRPr="00D43E3A" w:rsidRDefault="0033781F" w:rsidP="0033781F">
            <w:pPr>
              <w:spacing w:line="700" w:lineRule="exact"/>
              <w:jc w:val="center"/>
              <w:rPr>
                <w:b/>
                <w:sz w:val="30"/>
                <w:szCs w:val="30"/>
              </w:rPr>
            </w:pPr>
            <w:r w:rsidRPr="00D43E3A">
              <w:rPr>
                <w:rFonts w:hint="eastAsia"/>
                <w:b/>
                <w:sz w:val="30"/>
                <w:szCs w:val="30"/>
              </w:rPr>
              <w:t>参评者姓名</w:t>
            </w:r>
          </w:p>
        </w:tc>
        <w:tc>
          <w:tcPr>
            <w:tcW w:w="1843" w:type="dxa"/>
            <w:hideMark/>
          </w:tcPr>
          <w:p w:rsidR="0033781F" w:rsidRPr="00D43E3A" w:rsidRDefault="0033781F" w:rsidP="0033781F">
            <w:pPr>
              <w:spacing w:line="700" w:lineRule="exact"/>
              <w:jc w:val="center"/>
              <w:rPr>
                <w:b/>
                <w:sz w:val="30"/>
                <w:szCs w:val="30"/>
              </w:rPr>
            </w:pPr>
            <w:r w:rsidRPr="00D43E3A">
              <w:rPr>
                <w:rFonts w:hint="eastAsia"/>
                <w:b/>
                <w:sz w:val="30"/>
                <w:szCs w:val="30"/>
              </w:rPr>
              <w:t>获奖等级</w:t>
            </w:r>
          </w:p>
        </w:tc>
      </w:tr>
      <w:tr w:rsidR="0033781F" w:rsidRPr="00D43E3A" w:rsidTr="00FC5ACB">
        <w:trPr>
          <w:cantSplit/>
          <w:trHeight w:val="600"/>
          <w:jc w:val="center"/>
        </w:trPr>
        <w:tc>
          <w:tcPr>
            <w:tcW w:w="5240" w:type="dxa"/>
            <w:hideMark/>
          </w:tcPr>
          <w:p w:rsidR="0033781F" w:rsidRPr="00D43E3A" w:rsidRDefault="00FC5ACB" w:rsidP="0033781F">
            <w:pPr>
              <w:spacing w:line="700" w:lineRule="exact"/>
              <w:jc w:val="center"/>
              <w:rPr>
                <w:sz w:val="30"/>
                <w:szCs w:val="30"/>
              </w:rPr>
            </w:pPr>
            <w:r w:rsidRPr="00FC5ACB">
              <w:rPr>
                <w:rFonts w:hint="eastAsia"/>
                <w:sz w:val="30"/>
                <w:szCs w:val="30"/>
              </w:rPr>
              <w:t>美丽浙江</w:t>
            </w:r>
            <w:r w:rsidRPr="00FC5ACB">
              <w:rPr>
                <w:rFonts w:hint="eastAsia"/>
                <w:sz w:val="30"/>
                <w:szCs w:val="30"/>
              </w:rPr>
              <w:t>---"</w:t>
            </w:r>
            <w:r w:rsidRPr="00FC5ACB">
              <w:rPr>
                <w:rFonts w:hint="eastAsia"/>
                <w:sz w:val="30"/>
                <w:szCs w:val="30"/>
              </w:rPr>
              <w:t>五美”城镇景观规划设计</w:t>
            </w:r>
            <w:bookmarkStart w:id="0" w:name="_GoBack"/>
            <w:bookmarkEnd w:id="0"/>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黄海</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短片《下姜夜之梦》</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蒋蝉羽、王霁平</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基于全球产业链布局的</w:t>
            </w:r>
            <w:r w:rsidRPr="00D43E3A">
              <w:rPr>
                <w:rFonts w:hint="eastAsia"/>
                <w:sz w:val="30"/>
                <w:szCs w:val="30"/>
              </w:rPr>
              <w:br/>
            </w:r>
            <w:r w:rsidRPr="00D43E3A">
              <w:rPr>
                <w:rFonts w:hint="eastAsia"/>
                <w:sz w:val="30"/>
                <w:szCs w:val="30"/>
              </w:rPr>
              <w:t>企业投资策略研究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阮一也</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J</w:t>
            </w:r>
            <w:r w:rsidRPr="00D43E3A">
              <w:rPr>
                <w:rFonts w:hint="eastAsia"/>
                <w:sz w:val="30"/>
                <w:szCs w:val="30"/>
              </w:rPr>
              <w:t>公司自有品牌医疗美容产品营销策略研究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刘璐璐</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《真实的养老服务需求》</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俞亮辉</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中大实业岗位价值评估项目报告</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周光志、严丹、陈丹叶、陈敬生、卢亚锋、王栋</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三叶儿童口腔</w:t>
            </w:r>
            <w:r w:rsidRPr="00D43E3A">
              <w:rPr>
                <w:rFonts w:hint="eastAsia"/>
                <w:sz w:val="30"/>
                <w:szCs w:val="30"/>
              </w:rPr>
              <w:t>-</w:t>
            </w:r>
            <w:r w:rsidRPr="00D43E3A">
              <w:rPr>
                <w:rFonts w:hint="eastAsia"/>
                <w:sz w:val="30"/>
                <w:szCs w:val="30"/>
              </w:rPr>
              <w:t>家庭会员制为核心的服务模式创新</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余红星</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加强数据互联互通，以公开透明负责任的方式开展国内外“战疫”合作</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孙睿</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国网集体企业</w:t>
            </w:r>
            <w:r w:rsidRPr="00D43E3A">
              <w:rPr>
                <w:rFonts w:hint="eastAsia"/>
                <w:sz w:val="30"/>
                <w:szCs w:val="30"/>
              </w:rPr>
              <w:t>G</w:t>
            </w:r>
            <w:r w:rsidRPr="00D43E3A">
              <w:rPr>
                <w:rFonts w:hint="eastAsia"/>
                <w:sz w:val="30"/>
                <w:szCs w:val="30"/>
              </w:rPr>
              <w:t>公司外包员工薪酬满意度研究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朱瀛</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债券纠纷案件法律适用问题研究——《全国法院审理债券纠纷案件座谈会纪要》高端研讨会综述</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刘佳玮</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“马仙故里</w:t>
            </w:r>
            <w:r w:rsidRPr="00D43E3A">
              <w:rPr>
                <w:rFonts w:hint="eastAsia"/>
                <w:sz w:val="30"/>
                <w:szCs w:val="30"/>
              </w:rPr>
              <w:t>.</w:t>
            </w:r>
            <w:r w:rsidRPr="00D43E3A">
              <w:rPr>
                <w:rFonts w:hint="eastAsia"/>
                <w:sz w:val="30"/>
                <w:szCs w:val="30"/>
              </w:rPr>
              <w:t>宜居鸬鹚”景宁畲族自治县鸬鹚乡鸬鹚村传统村落保护发展规划</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陈奕楠、刘畅、唐瑞艺、张悦、陈白云、卞梧</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浙江省高速公路生态绿篱隔离栅的应用研究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徐慧</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高异交水稻不育系培育技术</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刘振宇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零价铁还原联合土著微生物修复有机氯污染土壤的方法</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陈铮铮</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三例犬临床病例分析</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郑梦洁</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基于特定触媒的城市更新</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桑万琛</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植物活性物质及其可控自组装材料在果蔬保鲜中的应用</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王蕾</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直驱式海浪发电系统圆筒型磁通反向直线电机的性能分析与研究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赵磊</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基于数据挖掘的风力发电机故障预测</w:t>
            </w:r>
          </w:p>
        </w:tc>
        <w:tc>
          <w:tcPr>
            <w:tcW w:w="2693" w:type="dxa"/>
            <w:noWrap/>
            <w:hideMark/>
          </w:tcPr>
          <w:p w:rsidR="0033781F" w:rsidRPr="00D43E3A" w:rsidRDefault="0033781F" w:rsidP="0033781F">
            <w:pPr>
              <w:spacing w:line="700" w:lineRule="exact"/>
              <w:jc w:val="center"/>
              <w:rPr>
                <w:sz w:val="30"/>
                <w:szCs w:val="30"/>
              </w:rPr>
            </w:pPr>
            <w:r w:rsidRPr="00D43E3A">
              <w:rPr>
                <w:rFonts w:hint="eastAsia"/>
                <w:sz w:val="30"/>
                <w:szCs w:val="30"/>
              </w:rPr>
              <w:t>袁僮科</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区域定制化的空调系统设计研究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方志强</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一种基于投影梯度下降和标签平滑的智能客服意图识别系统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徐叶琛</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鲁棒性医学影像分析系统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张沁茗</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阳极固定球管智能高真空排气台</w:t>
            </w:r>
          </w:p>
        </w:tc>
        <w:tc>
          <w:tcPr>
            <w:tcW w:w="2693" w:type="dxa"/>
            <w:noWrap/>
            <w:hideMark/>
          </w:tcPr>
          <w:p w:rsidR="0033781F" w:rsidRPr="00D43E3A" w:rsidRDefault="0033781F" w:rsidP="0033781F">
            <w:pPr>
              <w:spacing w:line="700" w:lineRule="exact"/>
              <w:jc w:val="center"/>
              <w:rPr>
                <w:sz w:val="30"/>
                <w:szCs w:val="30"/>
              </w:rPr>
            </w:pPr>
            <w:r w:rsidRPr="00D43E3A">
              <w:rPr>
                <w:rFonts w:hint="eastAsia"/>
                <w:sz w:val="30"/>
                <w:szCs w:val="30"/>
              </w:rPr>
              <w:t>戴莉</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高程稠密地图构建</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潘一源</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果蔬采后贮运提质增效</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陆雅婷</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智能无线货盒系统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季彬浩</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用于大功率照明的荧光粉</w:t>
            </w:r>
            <w:r w:rsidRPr="00D43E3A">
              <w:rPr>
                <w:rFonts w:hint="eastAsia"/>
                <w:sz w:val="30"/>
                <w:szCs w:val="30"/>
              </w:rPr>
              <w:t>/</w:t>
            </w:r>
            <w:r w:rsidRPr="00D43E3A">
              <w:rPr>
                <w:rFonts w:hint="eastAsia"/>
                <w:sz w:val="30"/>
                <w:szCs w:val="30"/>
              </w:rPr>
              <w:t>石英玻璃复合材料研究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张导</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一种新型水系锌离子电池电解液添加剂</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罗明贺</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纳米复合材料修饰电极的磷素电化学分析新技术研究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张楚璇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水体疏浚底泥的重金属去除技术研发及工艺设计</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吴纯城</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高性能水泥基复合材料的动态本构模型及工程测试、应用关键技术研究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谢磊</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污水处理厂出水水质人工智能预测与调控技术</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赵子豪</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生活垃圾分类宣传与分类处理规划标准编制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尹筱思</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工控网络智能安全检测方法</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王宇平</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藏乡遗产，抗震减灾</w:t>
            </w:r>
            <w:r w:rsidRPr="00D43E3A">
              <w:rPr>
                <w:rFonts w:hint="eastAsia"/>
                <w:sz w:val="30"/>
                <w:szCs w:val="30"/>
              </w:rPr>
              <w:t xml:space="preserve"> </w:t>
            </w:r>
            <w:r w:rsidRPr="00D43E3A">
              <w:rPr>
                <w:rFonts w:hint="eastAsia"/>
                <w:sz w:val="30"/>
                <w:szCs w:val="30"/>
              </w:rPr>
              <w:t>——理县沙吉藏族村保护更新与抗震减灾城市设计</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孙源</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国家台州先行区及湖州企业用地土壤污染状况详查技术指导与质量控制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羊嘉文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成都地铁</w:t>
            </w:r>
            <w:r w:rsidRPr="00D43E3A">
              <w:rPr>
                <w:rFonts w:hint="eastAsia"/>
                <w:sz w:val="30"/>
                <w:szCs w:val="30"/>
              </w:rPr>
              <w:t>6</w:t>
            </w:r>
            <w:r w:rsidRPr="00D43E3A">
              <w:rPr>
                <w:rFonts w:hint="eastAsia"/>
                <w:sz w:val="30"/>
                <w:szCs w:val="30"/>
              </w:rPr>
              <w:t>号线盾构法隧道项目的施工风险管控之道</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曹鹏</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交通工程</w:t>
            </w:r>
            <w:r w:rsidRPr="00D43E3A">
              <w:rPr>
                <w:rFonts w:hint="eastAsia"/>
                <w:sz w:val="30"/>
                <w:szCs w:val="30"/>
              </w:rPr>
              <w:t>BIM</w:t>
            </w:r>
            <w:r w:rsidRPr="00D43E3A">
              <w:rPr>
                <w:rFonts w:hint="eastAsia"/>
                <w:sz w:val="30"/>
                <w:szCs w:val="30"/>
              </w:rPr>
              <w:t>建模方法的研究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张柳柳</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无机防腐涂层技术研究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陈新</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郑州市城市雕塑规划体系专题研究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童诚宇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基于数字化光处理技术的带仿生骨膜组织工程骨构建</w:t>
            </w:r>
          </w:p>
        </w:tc>
        <w:tc>
          <w:tcPr>
            <w:tcW w:w="2693" w:type="dxa"/>
            <w:noWrap/>
            <w:hideMark/>
          </w:tcPr>
          <w:p w:rsidR="0033781F" w:rsidRPr="00D43E3A" w:rsidRDefault="0033781F" w:rsidP="0033781F">
            <w:pPr>
              <w:spacing w:line="700" w:lineRule="exact"/>
              <w:jc w:val="center"/>
              <w:rPr>
                <w:sz w:val="30"/>
                <w:szCs w:val="30"/>
              </w:rPr>
            </w:pPr>
            <w:r w:rsidRPr="00D43E3A">
              <w:rPr>
                <w:rFonts w:hint="eastAsia"/>
                <w:sz w:val="30"/>
                <w:szCs w:val="30"/>
              </w:rPr>
              <w:t>娄依婷</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超分子金纳米棒介导的</w:t>
            </w:r>
            <w:r w:rsidRPr="00D43E3A">
              <w:rPr>
                <w:rFonts w:hint="eastAsia"/>
                <w:sz w:val="30"/>
                <w:szCs w:val="30"/>
              </w:rPr>
              <w:t>PD-L1</w:t>
            </w:r>
            <w:r w:rsidRPr="00D43E3A">
              <w:rPr>
                <w:rFonts w:hint="eastAsia"/>
                <w:sz w:val="30"/>
                <w:szCs w:val="30"/>
              </w:rPr>
              <w:t>光热基因编辑对肿瘤微环境进行重编程以增强肿瘤免疫治疗</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汤红林</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一等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《抗美援朝口述史·浙大老兵》</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蒋蝉羽、叶淑宁、王宇馨、林锌燕</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纪录片《连通中阿</w:t>
            </w:r>
            <w:r w:rsidRPr="00D43E3A">
              <w:rPr>
                <w:rFonts w:hint="eastAsia"/>
                <w:sz w:val="30"/>
                <w:szCs w:val="30"/>
              </w:rPr>
              <w:t xml:space="preserve"> </w:t>
            </w:r>
            <w:r w:rsidRPr="00D43E3A">
              <w:rPr>
                <w:rFonts w:hint="eastAsia"/>
                <w:sz w:val="30"/>
                <w:szCs w:val="30"/>
              </w:rPr>
              <w:t>行稳致远》</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吴晓怡</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解决方案：京盛智威财务报销和项目管理问题诊断与解决</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殷珍珍、宋恺、钱青青、王开源、周洁</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杭州复旦儿童医院差异化医疗服务之路</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程琳</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可穿戴健康护理产品的产业化难点及应对策略</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陈小勇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自然保护地利益还原机制研究——以三江源国家公园为例</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吴格非</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土壤重金属污染调查与成因分析</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傅婷婷</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体内医疗磁控导航装置</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于浩晨</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一种基于多分量的电场探头和磁场探头校准系统及方法</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张力</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沸腾表面固液界面润湿状态的电化学监测</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张嘉懿</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基于近场扫描的电磁算法</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徐自翔</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一种基于</w:t>
            </w:r>
            <w:r w:rsidRPr="00D43E3A">
              <w:rPr>
                <w:rFonts w:hint="eastAsia"/>
                <w:sz w:val="30"/>
                <w:szCs w:val="30"/>
              </w:rPr>
              <w:t>DNN-HMM</w:t>
            </w:r>
            <w:r w:rsidRPr="00D43E3A">
              <w:rPr>
                <w:rFonts w:hint="eastAsia"/>
                <w:sz w:val="30"/>
                <w:szCs w:val="30"/>
              </w:rPr>
              <w:t>双模态对齐网络的端到端语音合成方法和系统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陈飞扬</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面向云网络产品实例的诊断结果分析工具</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欧阳晨</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新时代乡村环境治理调研与发展路径探索</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孙悦</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SKY JOY CLUB</w:t>
            </w:r>
            <w:r w:rsidRPr="00D43E3A">
              <w:rPr>
                <w:rFonts w:hint="eastAsia"/>
                <w:sz w:val="30"/>
                <w:szCs w:val="30"/>
              </w:rPr>
              <w:t>早教中心设计方案</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孙瑞淇</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微盾纽斯特（</w:t>
            </w:r>
            <w:r w:rsidRPr="00D43E3A">
              <w:rPr>
                <w:rFonts w:hint="eastAsia"/>
                <w:sz w:val="30"/>
                <w:szCs w:val="30"/>
              </w:rPr>
              <w:t>NEWSTER</w:t>
            </w:r>
            <w:r w:rsidRPr="00D43E3A">
              <w:rPr>
                <w:rFonts w:hint="eastAsia"/>
                <w:sz w:val="30"/>
                <w:szCs w:val="30"/>
              </w:rPr>
              <w:t>）医疗废物处置设备技术评估报告</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隆云鹏</w:t>
            </w:r>
            <w:r w:rsidRPr="00D43E3A">
              <w:rPr>
                <w:rFonts w:hint="eastAsia"/>
                <w:sz w:val="30"/>
                <w:szCs w:val="30"/>
              </w:rPr>
              <w:br/>
            </w:r>
            <w:r w:rsidRPr="00D43E3A">
              <w:rPr>
                <w:rFonts w:hint="eastAsia"/>
                <w:sz w:val="30"/>
                <w:szCs w:val="30"/>
              </w:rPr>
              <w:t>陈梅玲</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一种实时的面向水下物联网的兼具能量收集与自动对准功能的无线光通信系统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林佳明</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考虑岩土参数不确定性的桩基优化设计</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汪柱</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涡旋式汽车空调压缩机动盘自动装配系统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董大钊</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一种用于锚固悬浮隧道管体的可调式锚索装置</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白兵</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具有光响应性抗菌及骨整合性能涂层的钛内植物</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章增杰</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二等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纪录片《耄耋拳击手》</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吴晓怡</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浙江世纪康大医疗科技股份有限公司</w:t>
            </w:r>
            <w:r w:rsidRPr="00D43E3A">
              <w:rPr>
                <w:rFonts w:hint="eastAsia"/>
                <w:sz w:val="30"/>
                <w:szCs w:val="30"/>
              </w:rPr>
              <w:br/>
            </w:r>
            <w:r w:rsidRPr="00D43E3A">
              <w:rPr>
                <w:rFonts w:hint="eastAsia"/>
                <w:sz w:val="30"/>
                <w:szCs w:val="30"/>
              </w:rPr>
              <w:t>调研诊断报告</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杨杰</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开设民营耳专科医院有可能吗？</w:t>
            </w:r>
            <w:r w:rsidRPr="00D43E3A">
              <w:rPr>
                <w:rFonts w:hint="eastAsia"/>
                <w:sz w:val="30"/>
                <w:szCs w:val="30"/>
              </w:rPr>
              <w:t>-</w:t>
            </w:r>
            <w:r w:rsidRPr="00D43E3A">
              <w:rPr>
                <w:rFonts w:hint="eastAsia"/>
                <w:sz w:val="30"/>
                <w:szCs w:val="30"/>
              </w:rPr>
              <w:t>基于耳健康需求的分析</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周瑾</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杭州地区芍药需冷量评估及低需冷量种质筛选</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王小斌</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一种面向高清图像的实时切分并行识别框架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王跃锋</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微通道平行流换热器</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杜琳</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lastRenderedPageBreak/>
              <w:t>6500</w:t>
            </w:r>
            <w:r w:rsidRPr="00D43E3A">
              <w:rPr>
                <w:rFonts w:hint="eastAsia"/>
                <w:sz w:val="30"/>
                <w:szCs w:val="30"/>
              </w:rPr>
              <w:t>万级高分辨大面阵复杂测量光学系统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黄祺</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基于仿真数据分析和挖掘的连锁故障关键线路及传播模式辨识研究</w:t>
            </w:r>
          </w:p>
        </w:tc>
        <w:tc>
          <w:tcPr>
            <w:tcW w:w="2693" w:type="dxa"/>
            <w:noWrap/>
            <w:hideMark/>
          </w:tcPr>
          <w:p w:rsidR="0033781F" w:rsidRPr="00D43E3A" w:rsidRDefault="0033781F" w:rsidP="0033781F">
            <w:pPr>
              <w:spacing w:line="700" w:lineRule="exact"/>
              <w:jc w:val="center"/>
              <w:rPr>
                <w:sz w:val="30"/>
                <w:szCs w:val="30"/>
              </w:rPr>
            </w:pPr>
            <w:r w:rsidRPr="00D43E3A">
              <w:rPr>
                <w:rFonts w:hint="eastAsia"/>
                <w:sz w:val="30"/>
                <w:szCs w:val="30"/>
              </w:rPr>
              <w:t>柳璐</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应用于机场拦阻系统的超轻质泡沫混凝土质量稳定性研究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陈珊</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“两山精神”鼓人心，精细管理保工期：杭州国际中心项目北区主体结构工程进度管控</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杨正涵</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基于分布式光纤的入侵检测技术研究</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周元杰</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面向飞机数字化装配的并联柔性工装设计</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朱春润</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r w:rsidR="0033781F" w:rsidRPr="00D43E3A" w:rsidTr="00FC5ACB">
        <w:trPr>
          <w:cantSplit/>
          <w:trHeight w:val="600"/>
          <w:jc w:val="center"/>
        </w:trPr>
        <w:tc>
          <w:tcPr>
            <w:tcW w:w="5240" w:type="dxa"/>
            <w:hideMark/>
          </w:tcPr>
          <w:p w:rsidR="0033781F" w:rsidRPr="00D43E3A" w:rsidRDefault="0033781F" w:rsidP="0033781F">
            <w:pPr>
              <w:spacing w:line="700" w:lineRule="exact"/>
              <w:jc w:val="center"/>
              <w:rPr>
                <w:sz w:val="30"/>
                <w:szCs w:val="30"/>
              </w:rPr>
            </w:pPr>
            <w:r w:rsidRPr="00D43E3A">
              <w:rPr>
                <w:rFonts w:hint="eastAsia"/>
                <w:sz w:val="30"/>
                <w:szCs w:val="30"/>
              </w:rPr>
              <w:t>基于数字影像与大数据平台的手部肿瘤智能诊断系统</w:t>
            </w:r>
          </w:p>
        </w:tc>
        <w:tc>
          <w:tcPr>
            <w:tcW w:w="2693" w:type="dxa"/>
            <w:hideMark/>
          </w:tcPr>
          <w:p w:rsidR="0033781F" w:rsidRPr="00D43E3A" w:rsidRDefault="0033781F" w:rsidP="0033781F">
            <w:pPr>
              <w:spacing w:line="700" w:lineRule="exact"/>
              <w:jc w:val="center"/>
              <w:rPr>
                <w:sz w:val="30"/>
                <w:szCs w:val="30"/>
              </w:rPr>
            </w:pPr>
            <w:r w:rsidRPr="00D43E3A">
              <w:rPr>
                <w:rFonts w:hint="eastAsia"/>
                <w:sz w:val="30"/>
                <w:szCs w:val="30"/>
              </w:rPr>
              <w:t>周海英</w:t>
            </w:r>
          </w:p>
        </w:tc>
        <w:tc>
          <w:tcPr>
            <w:tcW w:w="1843" w:type="dxa"/>
            <w:noWrap/>
            <w:hideMark/>
          </w:tcPr>
          <w:p w:rsidR="0033781F" w:rsidRPr="00D43E3A" w:rsidRDefault="0033781F" w:rsidP="0033781F">
            <w:pPr>
              <w:spacing w:line="700" w:lineRule="exact"/>
              <w:jc w:val="center"/>
              <w:rPr>
                <w:sz w:val="30"/>
                <w:szCs w:val="30"/>
              </w:rPr>
            </w:pPr>
            <w:r w:rsidRPr="00D43E3A">
              <w:rPr>
                <w:rFonts w:hint="eastAsia"/>
                <w:sz w:val="30"/>
                <w:szCs w:val="30"/>
              </w:rPr>
              <w:t>三等</w:t>
            </w:r>
          </w:p>
        </w:tc>
      </w:tr>
    </w:tbl>
    <w:p w:rsidR="00E55435" w:rsidRDefault="00E55435"/>
    <w:sectPr w:rsidR="00E55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C6" w:rsidRDefault="008609C6" w:rsidP="005E1C17">
      <w:r>
        <w:separator/>
      </w:r>
    </w:p>
  </w:endnote>
  <w:endnote w:type="continuationSeparator" w:id="0">
    <w:p w:rsidR="008609C6" w:rsidRDefault="008609C6" w:rsidP="005E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C6" w:rsidRDefault="008609C6" w:rsidP="005E1C17">
      <w:r>
        <w:separator/>
      </w:r>
    </w:p>
  </w:footnote>
  <w:footnote w:type="continuationSeparator" w:id="0">
    <w:p w:rsidR="008609C6" w:rsidRDefault="008609C6" w:rsidP="005E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37"/>
    <w:rsid w:val="0012578B"/>
    <w:rsid w:val="00147A13"/>
    <w:rsid w:val="0018211C"/>
    <w:rsid w:val="00205D38"/>
    <w:rsid w:val="002449C5"/>
    <w:rsid w:val="002E1732"/>
    <w:rsid w:val="0033781F"/>
    <w:rsid w:val="0051285B"/>
    <w:rsid w:val="00530380"/>
    <w:rsid w:val="005336FB"/>
    <w:rsid w:val="005974ED"/>
    <w:rsid w:val="005E1C17"/>
    <w:rsid w:val="00601537"/>
    <w:rsid w:val="006E0B2D"/>
    <w:rsid w:val="00860973"/>
    <w:rsid w:val="008609C6"/>
    <w:rsid w:val="008D22EC"/>
    <w:rsid w:val="009022EF"/>
    <w:rsid w:val="00B53755"/>
    <w:rsid w:val="00C16FEA"/>
    <w:rsid w:val="00D43E3A"/>
    <w:rsid w:val="00D514FF"/>
    <w:rsid w:val="00D90416"/>
    <w:rsid w:val="00DB41E7"/>
    <w:rsid w:val="00E55435"/>
    <w:rsid w:val="00E80C8C"/>
    <w:rsid w:val="00FC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497798-3695-4552-9A86-A0D88662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表格"/>
    <w:qFormat/>
    <w:rsid w:val="00601537"/>
    <w:pPr>
      <w:widowControl w:val="0"/>
    </w:pPr>
    <w:rPr>
      <w:rFonts w:ascii="Times New Roman" w:eastAsia="仿宋_GB2312"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1C17"/>
    <w:rPr>
      <w:rFonts w:ascii="Times New Roman" w:eastAsia="仿宋_GB2312" w:hAnsi="Times New Roman"/>
      <w:sz w:val="18"/>
      <w:szCs w:val="18"/>
    </w:rPr>
  </w:style>
  <w:style w:type="paragraph" w:styleId="a5">
    <w:name w:val="footer"/>
    <w:basedOn w:val="a"/>
    <w:link w:val="a6"/>
    <w:uiPriority w:val="99"/>
    <w:unhideWhenUsed/>
    <w:rsid w:val="005E1C17"/>
    <w:pPr>
      <w:tabs>
        <w:tab w:val="center" w:pos="4153"/>
        <w:tab w:val="right" w:pos="8306"/>
      </w:tabs>
      <w:snapToGrid w:val="0"/>
    </w:pPr>
    <w:rPr>
      <w:sz w:val="18"/>
      <w:szCs w:val="18"/>
    </w:rPr>
  </w:style>
  <w:style w:type="character" w:customStyle="1" w:styleId="a6">
    <w:name w:val="页脚 字符"/>
    <w:basedOn w:val="a0"/>
    <w:link w:val="a5"/>
    <w:uiPriority w:val="99"/>
    <w:rsid w:val="005E1C17"/>
    <w:rPr>
      <w:rFonts w:ascii="Times New Roman" w:eastAsia="仿宋_GB2312" w:hAnsi="Times New Roman"/>
      <w:sz w:val="18"/>
      <w:szCs w:val="18"/>
    </w:rPr>
  </w:style>
  <w:style w:type="table" w:styleId="a7">
    <w:name w:val="Table Grid"/>
    <w:basedOn w:val="a1"/>
    <w:uiPriority w:val="39"/>
    <w:rsid w:val="00DB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autoRedefine/>
    <w:uiPriority w:val="10"/>
    <w:qFormat/>
    <w:rsid w:val="005974ED"/>
    <w:pPr>
      <w:spacing w:line="700" w:lineRule="exact"/>
      <w:jc w:val="center"/>
      <w:outlineLvl w:val="0"/>
    </w:pPr>
    <w:rPr>
      <w:rFonts w:eastAsia="方正小标宋简体" w:cstheme="majorBidi"/>
      <w:bCs/>
      <w:sz w:val="44"/>
      <w:szCs w:val="32"/>
    </w:rPr>
  </w:style>
  <w:style w:type="character" w:customStyle="1" w:styleId="a9">
    <w:name w:val="标题 字符"/>
    <w:basedOn w:val="a0"/>
    <w:link w:val="a8"/>
    <w:uiPriority w:val="10"/>
    <w:rsid w:val="005974ED"/>
    <w:rPr>
      <w:rFonts w:ascii="Times New Roman" w:eastAsia="方正小标宋简体" w:hAnsi="Times New Roman" w:cstheme="majorBidi"/>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27404">
      <w:bodyDiv w:val="1"/>
      <w:marLeft w:val="0"/>
      <w:marRight w:val="0"/>
      <w:marTop w:val="0"/>
      <w:marBottom w:val="0"/>
      <w:divBdr>
        <w:top w:val="none" w:sz="0" w:space="0" w:color="auto"/>
        <w:left w:val="none" w:sz="0" w:space="0" w:color="auto"/>
        <w:bottom w:val="none" w:sz="0" w:space="0" w:color="auto"/>
        <w:right w:val="none" w:sz="0" w:space="0" w:color="auto"/>
      </w:divBdr>
    </w:div>
    <w:div w:id="1809973482">
      <w:bodyDiv w:val="1"/>
      <w:marLeft w:val="0"/>
      <w:marRight w:val="0"/>
      <w:marTop w:val="0"/>
      <w:marBottom w:val="0"/>
      <w:divBdr>
        <w:top w:val="none" w:sz="0" w:space="0" w:color="auto"/>
        <w:left w:val="none" w:sz="0" w:space="0" w:color="auto"/>
        <w:bottom w:val="none" w:sz="0" w:space="0" w:color="auto"/>
        <w:right w:val="none" w:sz="0" w:space="0" w:color="auto"/>
      </w:divBdr>
    </w:div>
    <w:div w:id="1882551851">
      <w:bodyDiv w:val="1"/>
      <w:marLeft w:val="0"/>
      <w:marRight w:val="0"/>
      <w:marTop w:val="0"/>
      <w:marBottom w:val="0"/>
      <w:divBdr>
        <w:top w:val="none" w:sz="0" w:space="0" w:color="auto"/>
        <w:left w:val="none" w:sz="0" w:space="0" w:color="auto"/>
        <w:bottom w:val="none" w:sz="0" w:space="0" w:color="auto"/>
        <w:right w:val="none" w:sz="0" w:space="0" w:color="auto"/>
      </w:divBdr>
    </w:div>
    <w:div w:id="19241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OptiPlex 3080</cp:lastModifiedBy>
  <cp:revision>16</cp:revision>
  <dcterms:created xsi:type="dcterms:W3CDTF">2021-06-23T07:23:00Z</dcterms:created>
  <dcterms:modified xsi:type="dcterms:W3CDTF">2021-06-24T06:18:00Z</dcterms:modified>
</cp:coreProperties>
</file>