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07" w:rsidRDefault="006F7307" w:rsidP="006F7307">
      <w:pPr>
        <w:rPr>
          <w:rFonts w:ascii="仿宋_GB2312" w:hAnsi="仿宋"/>
          <w:szCs w:val="32"/>
        </w:rPr>
      </w:pPr>
      <w:r w:rsidRPr="001F55F6">
        <w:rPr>
          <w:rFonts w:ascii="仿宋_GB2312" w:hAnsi="仿宋" w:hint="eastAsia"/>
          <w:szCs w:val="32"/>
        </w:rPr>
        <w:t>附件</w:t>
      </w:r>
      <w:r>
        <w:rPr>
          <w:rFonts w:ascii="仿宋_GB2312" w:hAnsi="仿宋"/>
          <w:szCs w:val="32"/>
        </w:rPr>
        <w:t>2</w:t>
      </w:r>
    </w:p>
    <w:p w:rsidR="00473648" w:rsidRPr="001F55F6" w:rsidRDefault="00473648" w:rsidP="00EE74E9">
      <w:pPr>
        <w:jc w:val="center"/>
        <w:rPr>
          <w:rFonts w:ascii="方正小标宋简体" w:eastAsia="方正小标宋简体" w:hAnsi="微软雅黑"/>
          <w:sz w:val="44"/>
          <w:szCs w:val="44"/>
        </w:rPr>
      </w:pPr>
      <w:r w:rsidRPr="001F55F6">
        <w:rPr>
          <w:rFonts w:ascii="方正小标宋简体" w:eastAsia="方正小标宋简体" w:hint="eastAsia"/>
          <w:sz w:val="44"/>
          <w:szCs w:val="44"/>
        </w:rPr>
        <w:t>202</w:t>
      </w:r>
      <w:r>
        <w:rPr>
          <w:rFonts w:ascii="方正小标宋简体" w:eastAsia="方正小标宋简体"/>
          <w:sz w:val="44"/>
          <w:szCs w:val="44"/>
        </w:rPr>
        <w:t>1</w:t>
      </w:r>
      <w:r w:rsidRPr="001F55F6">
        <w:rPr>
          <w:rFonts w:ascii="方正小标宋简体" w:eastAsia="方正小标宋简体" w:hint="eastAsia"/>
          <w:sz w:val="44"/>
          <w:szCs w:val="44"/>
        </w:rPr>
        <w:t>年</w:t>
      </w:r>
      <w:r w:rsidRPr="001F55F6">
        <w:rPr>
          <w:rFonts w:ascii="方正小标宋简体" w:eastAsia="方正小标宋简体" w:hAnsi="微软雅黑" w:hint="eastAsia"/>
          <w:sz w:val="44"/>
          <w:szCs w:val="44"/>
        </w:rPr>
        <w:t>浙江大学专业学位研究生教育</w:t>
      </w:r>
    </w:p>
    <w:p w:rsidR="00473648" w:rsidRDefault="00473648" w:rsidP="00473648">
      <w:pPr>
        <w:jc w:val="center"/>
        <w:rPr>
          <w:rFonts w:ascii="方正小标宋简体" w:eastAsia="方正小标宋简体" w:hAnsi="微软雅黑"/>
          <w:sz w:val="44"/>
          <w:szCs w:val="44"/>
        </w:rPr>
      </w:pPr>
      <w:r w:rsidRPr="001F55F6">
        <w:rPr>
          <w:rFonts w:ascii="方正小标宋简体" w:eastAsia="方正小标宋简体" w:hAnsi="微软雅黑" w:hint="eastAsia"/>
          <w:sz w:val="44"/>
          <w:szCs w:val="44"/>
        </w:rPr>
        <w:t>优秀教学案例直接认定名单</w:t>
      </w:r>
    </w:p>
    <w:tbl>
      <w:tblPr>
        <w:tblW w:w="9200" w:type="dxa"/>
        <w:jc w:val="center"/>
        <w:tblLook w:val="04A0" w:firstRow="1" w:lastRow="0" w:firstColumn="1" w:lastColumn="0" w:noHBand="0" w:noVBand="1"/>
      </w:tblPr>
      <w:tblGrid>
        <w:gridCol w:w="5524"/>
        <w:gridCol w:w="3676"/>
      </w:tblGrid>
      <w:tr w:rsidR="00130FD0" w:rsidRPr="00E00C01" w:rsidTr="00454BF3">
        <w:trPr>
          <w:trHeight w:val="600"/>
          <w:tblHeader/>
          <w:jc w:val="center"/>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b/>
                <w:bCs/>
                <w:color w:val="000000"/>
                <w:kern w:val="0"/>
                <w:sz w:val="30"/>
                <w:szCs w:val="30"/>
              </w:rPr>
            </w:pPr>
            <w:r w:rsidRPr="00E00C01">
              <w:rPr>
                <w:rFonts w:ascii="仿宋_GB2312" w:hAnsi="等线" w:cs="宋体" w:hint="eastAsia"/>
                <w:b/>
                <w:bCs/>
                <w:color w:val="000000"/>
                <w:kern w:val="0"/>
                <w:sz w:val="30"/>
                <w:szCs w:val="30"/>
              </w:rPr>
              <w:t>案例名称</w:t>
            </w:r>
          </w:p>
        </w:tc>
        <w:tc>
          <w:tcPr>
            <w:tcW w:w="3676" w:type="dxa"/>
            <w:tcBorders>
              <w:top w:val="single" w:sz="4" w:space="0" w:color="auto"/>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b/>
                <w:bCs/>
                <w:color w:val="000000"/>
                <w:kern w:val="0"/>
                <w:sz w:val="30"/>
                <w:szCs w:val="30"/>
              </w:rPr>
            </w:pPr>
            <w:r w:rsidRPr="00E00C01">
              <w:rPr>
                <w:rFonts w:ascii="仿宋_GB2312" w:hAnsi="等线" w:cs="宋体" w:hint="eastAsia"/>
                <w:b/>
                <w:bCs/>
                <w:color w:val="000000"/>
                <w:kern w:val="0"/>
                <w:sz w:val="30"/>
                <w:szCs w:val="30"/>
              </w:rPr>
              <w:t>案例库名称</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刘云务诉山西省太原市公安局交通警察支队晋源一大队道路交通管理行政强制案</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E33681" w:rsidP="00FD1D77">
            <w:pPr>
              <w:widowControl/>
              <w:jc w:val="center"/>
              <w:rPr>
                <w:rFonts w:ascii="仿宋_GB2312" w:hAnsi="等线" w:cs="宋体"/>
                <w:color w:val="000000"/>
                <w:kern w:val="0"/>
                <w:sz w:val="30"/>
                <w:szCs w:val="30"/>
              </w:rPr>
            </w:pPr>
            <w:r>
              <w:rPr>
                <w:rFonts w:ascii="仿宋_GB2312" w:hAnsi="等线" w:cs="宋体" w:hint="eastAsia"/>
                <w:color w:val="000000"/>
                <w:kern w:val="0"/>
                <w:sz w:val="30"/>
                <w:szCs w:val="30"/>
              </w:rPr>
              <w:t>中国专业学位教学案例</w:t>
            </w:r>
            <w:r w:rsidR="00130FD0" w:rsidRPr="00E00C01">
              <w:rPr>
                <w:rFonts w:ascii="仿宋_GB2312" w:hAnsi="等线" w:cs="宋体" w:hint="eastAsia"/>
                <w:color w:val="000000"/>
                <w:kern w:val="0"/>
                <w:sz w:val="30"/>
                <w:szCs w:val="30"/>
              </w:rPr>
              <w:t>中心</w:t>
            </w:r>
            <w:r>
              <w:rPr>
                <w:rFonts w:ascii="仿宋_GB2312" w:hAnsi="等线" w:cs="宋体" w:hint="eastAsia"/>
                <w:color w:val="000000"/>
                <w:kern w:val="0"/>
                <w:sz w:val="30"/>
                <w:szCs w:val="30"/>
              </w:rPr>
              <w:t>案例库</w:t>
            </w:r>
            <w:bookmarkStart w:id="0" w:name="_GoBack"/>
            <w:bookmarkEnd w:id="0"/>
            <w:r w:rsidR="00130FD0" w:rsidRPr="00E00C01">
              <w:rPr>
                <w:rFonts w:ascii="仿宋_GB2312" w:hAnsi="等线" w:cs="宋体" w:hint="eastAsia"/>
                <w:color w:val="000000"/>
                <w:kern w:val="0"/>
                <w:sz w:val="30"/>
                <w:szCs w:val="30"/>
              </w:rPr>
              <w:t>法律硕士分中心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组织韧性：吉利超越追赶的“元动力密码”</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中国管理案例共享中心(第十一届全国百篇优秀管理案例)</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钉钉崛起背后：群体组织数字化道路上的助力者</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中国管理案例共享中心(第十一届全国百篇优秀管理案例)</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新桃与旧符：江南尚品物业中心的组织变革动了谁的奶酪？</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中国管理案例共享中心(第十一届全国百篇优秀管理案例)</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从来往到钉钉：“无招”如何“向死而生”？</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中国管理案例共享中心(第十一届全国百篇优秀管理案例)</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lastRenderedPageBreak/>
              <w:t>天空中飘来一朵“阿里云”：中国自主云计算技术如何从0到1</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中国管理案例共享中心(第十一届全国百篇优秀管理案例)</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金华市农村垃圾分类“绿色革命”</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E33681" w:rsidP="00FD1D77">
            <w:pPr>
              <w:widowControl/>
              <w:jc w:val="center"/>
              <w:rPr>
                <w:rFonts w:ascii="仿宋_GB2312" w:hAnsi="等线" w:cs="宋体"/>
                <w:color w:val="000000"/>
                <w:kern w:val="0"/>
                <w:sz w:val="30"/>
                <w:szCs w:val="30"/>
              </w:rPr>
            </w:pPr>
            <w:r>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以流程再造的小切口，撬动经济体制的大变革：浙江省“标准地”改革案例</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E33681" w:rsidP="00FD1D77">
            <w:pPr>
              <w:widowControl/>
              <w:jc w:val="center"/>
              <w:rPr>
                <w:rFonts w:ascii="仿宋_GB2312" w:hAnsi="等线" w:cs="宋体"/>
                <w:color w:val="000000"/>
                <w:kern w:val="0"/>
                <w:sz w:val="30"/>
                <w:szCs w:val="30"/>
              </w:rPr>
            </w:pPr>
            <w:r>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健全自治、法治、德治相结合的治理体系——浙江省桐乡市“三治融合”创新与发展</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E33681" w:rsidP="00FD1D77">
            <w:pPr>
              <w:widowControl/>
              <w:jc w:val="center"/>
              <w:rPr>
                <w:rFonts w:ascii="仿宋_GB2312" w:hAnsi="等线" w:cs="宋体"/>
                <w:color w:val="000000"/>
                <w:kern w:val="0"/>
                <w:sz w:val="30"/>
                <w:szCs w:val="30"/>
              </w:rPr>
            </w:pPr>
            <w:r>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探索整合型医疗卫生服务体系的中国方案——浙江省打造县域医共体建设的典型样本</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E33681" w:rsidP="00FD1D77">
            <w:pPr>
              <w:widowControl/>
              <w:jc w:val="center"/>
              <w:rPr>
                <w:rFonts w:ascii="仿宋_GB2312" w:hAnsi="等线" w:cs="宋体"/>
                <w:color w:val="000000"/>
                <w:kern w:val="0"/>
                <w:sz w:val="30"/>
                <w:szCs w:val="30"/>
              </w:rPr>
            </w:pPr>
            <w:r>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疫情预警预测和防控措施评估</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上海和重庆房产税试点政策及其价格效应的案例分析</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中国专业学位案例中心税务专业学位案例库</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线上线下：大龙网与你相约</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中国专业学位案例中心</w:t>
            </w:r>
          </w:p>
        </w:tc>
      </w:tr>
      <w:tr w:rsidR="00130FD0" w:rsidRPr="00E00C01" w:rsidTr="00454BF3">
        <w:trPr>
          <w:trHeight w:val="6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宜家的国际避税行为分析：基于BES行动计划的视角</w:t>
            </w:r>
          </w:p>
        </w:tc>
        <w:tc>
          <w:tcPr>
            <w:tcW w:w="3676" w:type="dxa"/>
            <w:tcBorders>
              <w:top w:val="nil"/>
              <w:left w:val="nil"/>
              <w:bottom w:val="single" w:sz="4" w:space="0" w:color="auto"/>
              <w:right w:val="single" w:sz="4" w:space="0" w:color="auto"/>
            </w:tcBorders>
            <w:shd w:val="clear" w:color="auto" w:fill="auto"/>
            <w:vAlign w:val="center"/>
            <w:hideMark/>
          </w:tcPr>
          <w:p w:rsidR="00130FD0" w:rsidRPr="00E00C01" w:rsidRDefault="00130FD0" w:rsidP="00FD1D77">
            <w:pPr>
              <w:widowControl/>
              <w:jc w:val="center"/>
              <w:rPr>
                <w:rFonts w:ascii="仿宋_GB2312" w:hAnsi="等线" w:cs="宋体"/>
                <w:color w:val="000000"/>
                <w:kern w:val="0"/>
                <w:sz w:val="30"/>
                <w:szCs w:val="30"/>
              </w:rPr>
            </w:pPr>
            <w:r w:rsidRPr="00E00C01">
              <w:rPr>
                <w:rFonts w:ascii="仿宋_GB2312" w:hAnsi="等线" w:cs="宋体" w:hint="eastAsia"/>
                <w:color w:val="000000"/>
                <w:kern w:val="0"/>
                <w:sz w:val="30"/>
                <w:szCs w:val="30"/>
              </w:rPr>
              <w:t>中国专业学位案例中心</w:t>
            </w:r>
          </w:p>
        </w:tc>
      </w:tr>
    </w:tbl>
    <w:p w:rsidR="00E816A0" w:rsidRPr="00130FD0" w:rsidRDefault="00E816A0"/>
    <w:sectPr w:rsidR="00E816A0" w:rsidRPr="00130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75" w:rsidRDefault="003B0475" w:rsidP="00130FD0">
      <w:r>
        <w:separator/>
      </w:r>
    </w:p>
  </w:endnote>
  <w:endnote w:type="continuationSeparator" w:id="0">
    <w:p w:rsidR="003B0475" w:rsidRDefault="003B0475" w:rsidP="0013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75" w:rsidRDefault="003B0475" w:rsidP="00130FD0">
      <w:r>
        <w:separator/>
      </w:r>
    </w:p>
  </w:footnote>
  <w:footnote w:type="continuationSeparator" w:id="0">
    <w:p w:rsidR="003B0475" w:rsidRDefault="003B0475" w:rsidP="00130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07"/>
    <w:rsid w:val="000B5388"/>
    <w:rsid w:val="00130FD0"/>
    <w:rsid w:val="001B4D10"/>
    <w:rsid w:val="002A3439"/>
    <w:rsid w:val="00360F4C"/>
    <w:rsid w:val="003A0E0A"/>
    <w:rsid w:val="003B0475"/>
    <w:rsid w:val="00454BF3"/>
    <w:rsid w:val="00473648"/>
    <w:rsid w:val="004D377F"/>
    <w:rsid w:val="006F7307"/>
    <w:rsid w:val="008D21B4"/>
    <w:rsid w:val="00C64DFC"/>
    <w:rsid w:val="00C8005C"/>
    <w:rsid w:val="00D865D1"/>
    <w:rsid w:val="00E00C01"/>
    <w:rsid w:val="00E33681"/>
    <w:rsid w:val="00E816A0"/>
    <w:rsid w:val="00FD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13F72"/>
  <w15:chartTrackingRefBased/>
  <w15:docId w15:val="{25904F6E-C96E-4808-91CC-0EA6A7E1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307"/>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F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FD0"/>
    <w:rPr>
      <w:rFonts w:ascii="Times New Roman" w:eastAsia="仿宋_GB2312" w:hAnsi="Times New Roman"/>
      <w:sz w:val="18"/>
      <w:szCs w:val="18"/>
    </w:rPr>
  </w:style>
  <w:style w:type="paragraph" w:styleId="a5">
    <w:name w:val="footer"/>
    <w:basedOn w:val="a"/>
    <w:link w:val="a6"/>
    <w:uiPriority w:val="99"/>
    <w:unhideWhenUsed/>
    <w:rsid w:val="00130FD0"/>
    <w:pPr>
      <w:tabs>
        <w:tab w:val="center" w:pos="4153"/>
        <w:tab w:val="right" w:pos="8306"/>
      </w:tabs>
      <w:snapToGrid w:val="0"/>
      <w:jc w:val="left"/>
    </w:pPr>
    <w:rPr>
      <w:sz w:val="18"/>
      <w:szCs w:val="18"/>
    </w:rPr>
  </w:style>
  <w:style w:type="character" w:customStyle="1" w:styleId="a6">
    <w:name w:val="页脚 字符"/>
    <w:basedOn w:val="a0"/>
    <w:link w:val="a5"/>
    <w:uiPriority w:val="99"/>
    <w:rsid w:val="00130FD0"/>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21941">
      <w:bodyDiv w:val="1"/>
      <w:marLeft w:val="0"/>
      <w:marRight w:val="0"/>
      <w:marTop w:val="0"/>
      <w:marBottom w:val="0"/>
      <w:divBdr>
        <w:top w:val="none" w:sz="0" w:space="0" w:color="auto"/>
        <w:left w:val="none" w:sz="0" w:space="0" w:color="auto"/>
        <w:bottom w:val="none" w:sz="0" w:space="0" w:color="auto"/>
        <w:right w:val="none" w:sz="0" w:space="0" w:color="auto"/>
      </w:divBdr>
    </w:div>
    <w:div w:id="1327588060">
      <w:bodyDiv w:val="1"/>
      <w:marLeft w:val="0"/>
      <w:marRight w:val="0"/>
      <w:marTop w:val="0"/>
      <w:marBottom w:val="0"/>
      <w:divBdr>
        <w:top w:val="none" w:sz="0" w:space="0" w:color="auto"/>
        <w:left w:val="none" w:sz="0" w:space="0" w:color="auto"/>
        <w:bottom w:val="none" w:sz="0" w:space="0" w:color="auto"/>
        <w:right w:val="none" w:sz="0" w:space="0" w:color="auto"/>
      </w:divBdr>
    </w:div>
    <w:div w:id="1678579492">
      <w:bodyDiv w:val="1"/>
      <w:marLeft w:val="0"/>
      <w:marRight w:val="0"/>
      <w:marTop w:val="0"/>
      <w:marBottom w:val="0"/>
      <w:divBdr>
        <w:top w:val="none" w:sz="0" w:space="0" w:color="auto"/>
        <w:left w:val="none" w:sz="0" w:space="0" w:color="auto"/>
        <w:bottom w:val="none" w:sz="0" w:space="0" w:color="auto"/>
        <w:right w:val="none" w:sz="0" w:space="0" w:color="auto"/>
      </w:divBdr>
    </w:div>
    <w:div w:id="20933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OptiPlex 3080</cp:lastModifiedBy>
  <cp:revision>8</cp:revision>
  <dcterms:created xsi:type="dcterms:W3CDTF">2021-06-23T06:58:00Z</dcterms:created>
  <dcterms:modified xsi:type="dcterms:W3CDTF">2021-06-24T02:20:00Z</dcterms:modified>
</cp:coreProperties>
</file>