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2A" w:rsidRDefault="00F51B2A" w:rsidP="0081662C">
      <w:pPr>
        <w:widowControl/>
        <w:shd w:val="clear" w:color="auto" w:fill="FFFFFF"/>
        <w:spacing w:before="100" w:beforeAutospacing="1" w:after="100" w:afterAutospacing="1" w:line="390" w:lineRule="atLeast"/>
        <w:ind w:right="360"/>
        <w:jc w:val="right"/>
        <w:rPr>
          <w:rFonts w:ascii="ˎ̥" w:eastAsia="宋体" w:hAnsi="ˎ̥" w:cs="宋体" w:hint="eastAsia"/>
          <w:kern w:val="0"/>
          <w:sz w:val="24"/>
          <w:szCs w:val="24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4005"/>
        <w:gridCol w:w="1567"/>
        <w:gridCol w:w="2184"/>
        <w:gridCol w:w="1444"/>
      </w:tblGrid>
      <w:tr w:rsidR="00F51B2A" w:rsidTr="00E95F01">
        <w:trPr>
          <w:trHeight w:val="630"/>
        </w:trPr>
        <w:tc>
          <w:tcPr>
            <w:tcW w:w="9557" w:type="dxa"/>
            <w:gridSpan w:val="5"/>
            <w:shd w:val="clear" w:color="auto" w:fill="FFFFFF"/>
            <w:vAlign w:val="center"/>
          </w:tcPr>
          <w:p w:rsidR="00F51B2A" w:rsidRDefault="00B036D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浙江省研究生教育学会教育成果奖拟授奖项目</w:t>
            </w:r>
          </w:p>
        </w:tc>
      </w:tr>
      <w:tr w:rsidR="00F51B2A" w:rsidTr="00E95F01">
        <w:trPr>
          <w:trHeight w:val="870"/>
        </w:trPr>
        <w:tc>
          <w:tcPr>
            <w:tcW w:w="35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成果名称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成果完成单位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成果完成人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评奖等级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以生为本多元融合 构建新颖的研究生培养体系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柯越海 欧阳宏伟 邵吉民 王青青 林海燕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 w:rsidP="00E95F0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开石九载 润物无声 树木术人  ——研究生“开石”学术文化育人之实践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浙江农林大学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洪昀、苏小菱、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幸、董杜斌、史冬辉、田海涛、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媒体创意与策划高层次文化创新人才培养体系建构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中国美术学院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名、邱志杰、孙善春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电气工程全日制专业学位硕士研究生培养模式探索与实践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王玉芬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何湘宁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若君  徐习东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沈建新 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军明 孙晖</w:t>
            </w:r>
            <w:proofErr w:type="gramEnd"/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国际MBA人才多元化培养模式探索与实践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宁波大学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妘、盛沛锋、周新苗、陈建平、汪娓娓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研究生教育质量监控体系的构建与实践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温州医科大学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金子兵、金胜威、刘洁、郑曼曼、卢中秋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学前教育专业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硕士驻园模式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培养探索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浙江师范大学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秦金亮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、王春燕、甘剑梅、赵一仑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校企育人文化深度融合，培养高端IT创新人才——以杭电-华为研究生合作培养为例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杭州电子科技大学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罗志增、徐红、赵乃良、赵杰艺、席旭刚、王胡英、戴国骏、姜周曙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教育学博士生培养实施核心素养教育的理念与实践探索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刘正伟、周谷平、徐小洲、刘 力、屠莉娅、顾建民、方展画、张剑平、肖  朗、李 艳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F51B2A" w:rsidTr="00E95F01">
        <w:trPr>
          <w:trHeight w:val="2520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浙江省高校研究生课程协同建设模式的探索与实践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浙江工业大学、宁波大学、浙江理工大学、浙江中医药大学、杭州电子科技大学、浙江工商大学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艾宁、 周娴华、袁强、崔灿、 罗志增、 金杨华、 葛亚宇、叶学义、 程开明、方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、顾越桦、 骆仙芳、 秦苗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基于“回本溯源”的控制工程专业学位研究生工程实践能力教学改革与实践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中国计量大学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王斌锐，李孝禄，严天宏，梁喜凤，陈锡爱，王颖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基于“全程·融合·协同”全日制教育硕士联合培养工作站模式的创新实践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杭州师范大学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陈丹宇、万林华、何淑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、蒋永贵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高分子分离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膜方向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研究生培养与产学研相结合的探索与实践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朱宝库，徐志康，安全福，朱利平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机械工程“基地-项目-竞赛”三结合创新创业人才培养模式研究与实践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杭州电子科技大学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陈国金、倪敬、苏少辉、龚友平、陈昌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地方院校研究生教育质量保障与监控体系的构建与实施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浙江工业大学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华尔天、艾宁、方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、王旭、秦苗、李研彪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基于创新创业能力提升的研究生培养模式改革实践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浙江理工大学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彭学兵、程华、胡剑锋、潘旭伟、王尧骏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专业学位研究生培养与住院医师规范化培训</w:t>
            </w:r>
            <w:r>
              <w:rPr>
                <w:rStyle w:val="font81"/>
                <w:rFonts w:hint="default"/>
                <w:lang w:bidi="ar"/>
              </w:rPr>
              <w:t>并轨--麻醉学科试点工作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温州医科大学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连庆泉、上官王宁、李军、胡明品、李兴旺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基于“多学科融合、多主体协作”的地方高校MPA人才培养模式探索与实践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宁波大学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赵振宇、张炳生、詹国彬、蔡先凤、周华权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多方联动  协同育人  培养计量特色研究生创新人才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中国计量大学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 xml:space="preserve">俞晓平  陈乐  邹志刚  蒋瑜仙  </w:t>
            </w:r>
            <w:proofErr w:type="gramStart"/>
            <w:r>
              <w:rPr>
                <w:rStyle w:val="font31"/>
                <w:rFonts w:hint="default"/>
                <w:lang w:bidi="ar"/>
              </w:rPr>
              <w:t>边亚琳</w:t>
            </w:r>
            <w:proofErr w:type="gramEnd"/>
            <w:r>
              <w:rPr>
                <w:rStyle w:val="font31"/>
                <w:rFonts w:hint="default"/>
                <w:lang w:bidi="ar"/>
              </w:rPr>
              <w:t xml:space="preserve">  陈亮  孙</w:t>
            </w:r>
            <w:proofErr w:type="gramStart"/>
            <w:r>
              <w:rPr>
                <w:rStyle w:val="font31"/>
                <w:rFonts w:hint="default"/>
                <w:lang w:bidi="ar"/>
              </w:rPr>
              <w:t>坚包福兵</w:t>
            </w:r>
            <w:proofErr w:type="gramEnd"/>
            <w:r>
              <w:rPr>
                <w:rStyle w:val="font31"/>
                <w:rFonts w:hint="default"/>
                <w:lang w:bidi="ar"/>
              </w:rPr>
              <w:t xml:space="preserve">  李运堂  李海芬  张</w:t>
            </w:r>
            <w:r>
              <w:rPr>
                <w:rStyle w:val="font31"/>
                <w:rFonts w:hint="default"/>
                <w:lang w:bidi="ar"/>
              </w:rPr>
              <w:lastRenderedPageBreak/>
              <w:t>淑琴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服务区域经济发展的“人才-学科-产业”协同的水产学科研究生创新能力培养实践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宁波大学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王春琳、屠春飞、严小军、龚一富、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母昌考</w:t>
            </w:r>
            <w:proofErr w:type="gramEnd"/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服务特需，“产-学-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研</w:t>
            </w:r>
            <w:proofErr w:type="gramEnd"/>
            <w:r>
              <w:rPr>
                <w:rStyle w:val="font31"/>
                <w:rFonts w:hint="default"/>
                <w:lang w:bidi="ar"/>
              </w:rPr>
              <w:t>-用”递进式工程硕士培养模式的探索与实践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浙江万里学院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钱国英、徐荣华、楼百均、吴月燕、李秋正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41"/>
                <w:rFonts w:hint="default"/>
                <w:lang w:bidi="ar"/>
              </w:rPr>
              <w:t>“</w:t>
            </w:r>
            <w:r>
              <w:rPr>
                <w:rStyle w:val="font31"/>
                <w:rFonts w:hint="default"/>
                <w:lang w:bidi="ar"/>
              </w:rPr>
              <w:t>政产学研用”协同培养新闻与传播专业硕士的探索与实践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浙江传媒学院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李文冰、黄鸣刚、李欣、王全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国际MBA学生创业教育“三全”体系的构建与实践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浙江师范大学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段文奇、刘远、郑文哲、汪平、祝亚雄、王华璐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以“四向”“三跨”为突破口，培养</w:t>
            </w:r>
            <w:r>
              <w:rPr>
                <w:rStyle w:val="font81"/>
                <w:rFonts w:hint="default"/>
                <w:lang w:bidi="ar"/>
              </w:rPr>
              <w:t>卓越新闻传播学应用型人才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浙江工业大学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王哲平、张雷、刘阳、韩素梅、杜艳艳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基于BSP理念的统计学研究生应用能力培养模式探索与实践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浙江工商大学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苏为华、江涛、陈振龙、郭宝才、徐蔼婷、陈钰芬、章上峰、王伟刚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专业能力发展取向的教育硕士培养模式改革的理论与实践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宁波大学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邵光华、张光陆、冯铁山、周勇、陈柏华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41"/>
                <w:rFonts w:hint="default"/>
                <w:lang w:bidi="ar"/>
              </w:rPr>
              <w:t>“</w:t>
            </w:r>
            <w:r>
              <w:rPr>
                <w:rStyle w:val="font31"/>
                <w:rFonts w:hint="default"/>
                <w:lang w:bidi="ar"/>
              </w:rPr>
              <w:t>明体达用”——护理硕士专业学位研究生培养的研究与实践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湖州师范学院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沈旭慧、姚金兰、卢东民、张秀伟、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祁亨年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、沈丽娟、徐玲芬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与国家大洋科学考察紧密结合的“海洋工程实践”特色研究生培养模式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杭州电子科技大学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刘敬彪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于海滨 徐红 潘勉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章雪挺</w:t>
            </w:r>
            <w:proofErr w:type="gramEnd"/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专业学位硕士研究生校企协同培养模式的探索与实践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浙江工业大学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徐维祥、姚裕萍、胡洪武、何晓英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30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开放•研究•创新：金融学科研究生人才培养模式的探索与实践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浙江财经大学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陈荣达、钟立新、朴哲范、王聪聪、王春发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教协同提升中医学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专硕与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住院医师规范化培训并轨培养质量的实践与研究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浙江中医药大学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骆仙芳、杨伟吉、王纪兴、吴杨辰子、袁强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F51B2A" w:rsidTr="00E95F01">
        <w:trPr>
          <w:trHeight w:val="1185"/>
        </w:trPr>
        <w:tc>
          <w:tcPr>
            <w:tcW w:w="357" w:type="dxa"/>
            <w:shd w:val="clear" w:color="auto" w:fill="FFFFFF"/>
            <w:vAlign w:val="bottom"/>
          </w:tcPr>
          <w:p w:rsidR="00F51B2A" w:rsidRDefault="00B036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005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控制科学与工程学科“创新、应用、国际化”三位一体人才培养模式探索与实践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杭州电子科技大学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彭冬亮、陈云、王越胜、吕强、王坚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F51B2A" w:rsidRDefault="00B03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</w:tbl>
    <w:p w:rsidR="00450DD8" w:rsidRDefault="00450DD8"/>
    <w:sectPr w:rsidR="00450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1B"/>
    <w:rsid w:val="0025301B"/>
    <w:rsid w:val="00307442"/>
    <w:rsid w:val="003A28CE"/>
    <w:rsid w:val="003D77A7"/>
    <w:rsid w:val="00450DD8"/>
    <w:rsid w:val="0081662C"/>
    <w:rsid w:val="00B036D5"/>
    <w:rsid w:val="00E95F01"/>
    <w:rsid w:val="00F51B2A"/>
    <w:rsid w:val="427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E95F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5F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E95F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5F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2017-07-19T06:33:00Z</dcterms:created>
  <dcterms:modified xsi:type="dcterms:W3CDTF">2017-07-19T06:33:00Z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